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textAlignment w:val="center"/>
        <w:rPr>
          <w:rFonts w:hint="eastAsia" w:ascii="黑体" w:hAnsi="黑体" w:eastAsia="黑体" w:cs="黑体"/>
          <w:i w:val="0"/>
          <w:iCs w:val="0"/>
          <w:color w:val="auto"/>
          <w:kern w:val="0"/>
          <w:sz w:val="32"/>
          <w:szCs w:val="32"/>
          <w:u w:val="none"/>
          <w:lang w:val="en-US" w:eastAsia="zh-CN" w:bidi="ar"/>
        </w:rPr>
      </w:pPr>
      <w:r>
        <w:rPr>
          <w:rFonts w:hint="eastAsia" w:ascii="黑体" w:hAnsi="黑体" w:eastAsia="黑体" w:cs="黑体"/>
          <w:i w:val="0"/>
          <w:iCs w:val="0"/>
          <w:color w:val="auto"/>
          <w:kern w:val="0"/>
          <w:sz w:val="32"/>
          <w:szCs w:val="32"/>
          <w:u w:val="none"/>
          <w:lang w:val="en-US" w:eastAsia="zh-CN" w:bidi="ar"/>
        </w:rPr>
        <w:t>附件8</w:t>
      </w:r>
    </w:p>
    <w:tbl>
      <w:tblPr>
        <w:tblStyle w:val="6"/>
        <w:tblW w:w="143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3"/>
        <w:gridCol w:w="1479"/>
        <w:gridCol w:w="1826"/>
        <w:gridCol w:w="952"/>
        <w:gridCol w:w="790"/>
        <w:gridCol w:w="6825"/>
        <w:gridCol w:w="18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14381" w:type="dxa"/>
            <w:gridSpan w:val="7"/>
            <w:tcBorders>
              <w:top w:val="nil"/>
              <w:left w:val="nil"/>
              <w:bottom w:val="single" w:color="auto"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方正小标宋简体" w:hAnsi="方正小标宋简体" w:eastAsia="方正小标宋简体" w:cs="方正小标宋简体"/>
                <w:i w:val="0"/>
                <w:iCs w:val="0"/>
                <w:color w:val="auto"/>
                <w:kern w:val="0"/>
                <w:sz w:val="44"/>
                <w:szCs w:val="44"/>
                <w:u w:val="none"/>
                <w:lang w:val="en-US" w:eastAsia="zh-CN" w:bidi="ar"/>
              </w:rPr>
            </w:pPr>
            <w:r>
              <w:rPr>
                <w:rFonts w:hint="eastAsia" w:ascii="方正小标宋简体" w:hAnsi="方正小标宋简体" w:eastAsia="方正小标宋简体" w:cs="方正小标宋简体"/>
                <w:i w:val="0"/>
                <w:iCs w:val="0"/>
                <w:color w:val="auto"/>
                <w:kern w:val="0"/>
                <w:sz w:val="44"/>
                <w:szCs w:val="44"/>
                <w:u w:val="none"/>
                <w:lang w:val="en-US" w:eastAsia="zh-CN" w:bidi="ar"/>
              </w:rPr>
              <w:t>引导建筑行业企业投身“百县千镇万村高质量发展工程”</w:t>
            </w:r>
          </w:p>
          <w:p>
            <w:pPr>
              <w:keepNext w:val="0"/>
              <w:keepLines w:val="0"/>
              <w:pageBreakBefore w:val="0"/>
              <w:widowControl/>
              <w:suppressLineNumbers w:val="0"/>
              <w:kinsoku/>
              <w:wordWrap/>
              <w:overflowPunct/>
              <w:topLinePunct w:val="0"/>
              <w:autoSpaceDE/>
              <w:autoSpaceDN/>
              <w:bidi w:val="0"/>
              <w:adjustRightInd/>
              <w:snapToGrid/>
              <w:spacing w:after="163" w:afterLines="50" w:line="560" w:lineRule="exact"/>
              <w:jc w:val="center"/>
              <w:textAlignment w:val="center"/>
              <w:rPr>
                <w:rFonts w:ascii="方正小标宋简体" w:hAnsi="方正小标宋简体" w:eastAsia="方正小标宋简体" w:cs="方正小标宋简体"/>
                <w:i w:val="0"/>
                <w:iCs w:val="0"/>
                <w:color w:val="auto"/>
                <w:sz w:val="32"/>
                <w:szCs w:val="32"/>
                <w:u w:val="none"/>
              </w:rPr>
            </w:pPr>
            <w:r>
              <w:rPr>
                <w:rFonts w:hint="eastAsia" w:ascii="方正小标宋简体" w:hAnsi="方正小标宋简体" w:eastAsia="方正小标宋简体" w:cs="方正小标宋简体"/>
                <w:i w:val="0"/>
                <w:iCs w:val="0"/>
                <w:color w:val="auto"/>
                <w:kern w:val="0"/>
                <w:sz w:val="44"/>
                <w:szCs w:val="44"/>
                <w:u w:val="none"/>
                <w:lang w:val="en-US" w:eastAsia="zh-CN" w:bidi="ar"/>
              </w:rPr>
              <w:t>诚信激励的工作指引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3" w:hRule="atLeast"/>
        </w:trPr>
        <w:tc>
          <w:tcPr>
            <w:tcW w:w="1438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eastAsia"/>
                <w:color w:val="auto"/>
                <w:lang w:val="en-US" w:eastAsia="zh-CN"/>
              </w:rPr>
            </w:pPr>
          </w:p>
          <w:p>
            <w:pPr>
              <w:keepNext w:val="0"/>
              <w:keepLines w:val="0"/>
              <w:widowControl/>
              <w:suppressLineNumbers w:val="0"/>
              <w:jc w:val="both"/>
              <w:textAlignment w:val="center"/>
              <w:rPr>
                <w:b w:val="0"/>
                <w:bCs w:val="0"/>
                <w:color w:val="auto"/>
                <w:lang w:val="en-US" w:eastAsia="zh-CN"/>
              </w:rPr>
            </w:pPr>
            <w:r>
              <w:rPr>
                <w:rFonts w:hint="eastAsia"/>
                <w:color w:val="auto"/>
                <w:lang w:val="en-US" w:eastAsia="zh-CN"/>
              </w:rPr>
              <w:t>总体说明：</w:t>
            </w:r>
            <w:r>
              <w:rPr>
                <w:rFonts w:hint="eastAsia"/>
                <w:color w:val="auto"/>
                <w:lang w:val="en-US" w:eastAsia="zh-CN"/>
              </w:rPr>
              <w:br w:type="textWrapping"/>
            </w:r>
            <w:r>
              <w:rPr>
                <w:rFonts w:hint="eastAsia"/>
                <w:color w:val="auto"/>
                <w:lang w:val="en-US" w:eastAsia="zh-CN"/>
              </w:rPr>
              <w:t>一、百县千镇万村高质量发展工程，以下简称“百千万工程”；</w:t>
            </w:r>
            <w:r>
              <w:rPr>
                <w:rFonts w:hint="eastAsia"/>
                <w:color w:val="auto"/>
                <w:lang w:val="en-US" w:eastAsia="zh-CN"/>
              </w:rPr>
              <w:br w:type="textWrapping"/>
            </w:r>
            <w:r>
              <w:rPr>
                <w:rFonts w:hint="eastAsia"/>
                <w:color w:val="auto"/>
                <w:lang w:val="en-US" w:eastAsia="zh-CN"/>
              </w:rPr>
              <w:t>二、按照全市住房城乡建设系统工作部署，各区住房城乡建设主管部门每季度向市住房城乡建设主管部门报送“百千万工程”相关加分事项，</w:t>
            </w:r>
            <w:r>
              <w:rPr>
                <w:color w:val="auto"/>
                <w:lang w:val="en-US" w:eastAsia="zh-CN"/>
              </w:rPr>
              <w:t>市住房城乡建设主管部门统筹</w:t>
            </w:r>
            <w:r>
              <w:rPr>
                <w:b w:val="0"/>
                <w:bCs w:val="0"/>
                <w:color w:val="auto"/>
                <w:lang w:val="en-US" w:eastAsia="zh-CN"/>
              </w:rPr>
              <w:t>相关诚信加分事宜。下列第</w:t>
            </w:r>
            <w:r>
              <w:rPr>
                <w:rFonts w:hint="eastAsia" w:asciiTheme="minorEastAsia" w:hAnsiTheme="minorEastAsia" w:eastAsiaTheme="minorEastAsia" w:cstheme="minorEastAsia"/>
                <w:b w:val="0"/>
                <w:bCs w:val="0"/>
                <w:color w:val="auto"/>
                <w:lang w:val="en-US" w:eastAsia="zh-CN"/>
              </w:rPr>
              <w:t>1～2点</w:t>
            </w:r>
            <w:r>
              <w:rPr>
                <w:b w:val="0"/>
                <w:bCs w:val="0"/>
                <w:color w:val="auto"/>
                <w:lang w:val="en-US" w:eastAsia="zh-CN"/>
              </w:rPr>
              <w:t>加分事项，由区住房城乡建设主管部门根据市住房城乡建设主管部门统筹并印发通报进行加分；第</w:t>
            </w:r>
            <w:r>
              <w:rPr>
                <w:rFonts w:hint="eastAsia" w:asciiTheme="minorEastAsia" w:hAnsiTheme="minorEastAsia" w:cstheme="minorEastAsia"/>
                <w:b w:val="0"/>
                <w:bCs w:val="0"/>
                <w:color w:val="auto"/>
                <w:lang w:val="en-US" w:eastAsia="zh-CN"/>
              </w:rPr>
              <w:t>3～4</w:t>
            </w:r>
            <w:r>
              <w:rPr>
                <w:b w:val="0"/>
                <w:bCs w:val="0"/>
                <w:color w:val="auto"/>
                <w:lang w:val="en-US" w:eastAsia="zh-CN"/>
              </w:rPr>
              <w:t>点加分事项，由市住房城乡建设主管部门根据评选情况进行加分；</w:t>
            </w:r>
            <w:r>
              <w:rPr>
                <w:b w:val="0"/>
                <w:bCs w:val="0"/>
                <w:color w:val="auto"/>
                <w:lang w:val="en-US" w:eastAsia="zh-CN"/>
              </w:rPr>
              <w:br w:type="textWrapping"/>
            </w:r>
            <w:r>
              <w:rPr>
                <w:b w:val="0"/>
                <w:bCs w:val="0"/>
                <w:color w:val="auto"/>
                <w:lang w:val="en-US" w:eastAsia="zh-CN"/>
              </w:rPr>
              <w:t>三、各区住房城乡建设主管部门报送的</w:t>
            </w:r>
            <w:r>
              <w:rPr>
                <w:rFonts w:hint="eastAsia"/>
                <w:b w:val="0"/>
                <w:bCs w:val="0"/>
                <w:color w:val="auto"/>
                <w:lang w:val="en-US" w:eastAsia="zh-CN"/>
              </w:rPr>
              <w:t>建筑行业企业投身“</w:t>
            </w:r>
            <w:r>
              <w:rPr>
                <w:b w:val="0"/>
                <w:bCs w:val="0"/>
                <w:color w:val="auto"/>
                <w:lang w:val="en-US" w:eastAsia="zh-CN"/>
              </w:rPr>
              <w:t>百千万工程</w:t>
            </w:r>
            <w:r>
              <w:rPr>
                <w:rFonts w:hint="eastAsia"/>
                <w:b w:val="0"/>
                <w:bCs w:val="0"/>
                <w:color w:val="auto"/>
                <w:lang w:val="en-US" w:eastAsia="zh-CN"/>
              </w:rPr>
              <w:t>”</w:t>
            </w:r>
            <w:r>
              <w:rPr>
                <w:b w:val="0"/>
                <w:bCs w:val="0"/>
                <w:color w:val="auto"/>
                <w:lang w:val="en-US" w:eastAsia="zh-CN"/>
              </w:rPr>
              <w:t>项目台账，需以</w:t>
            </w:r>
            <w:r>
              <w:rPr>
                <w:rFonts w:hint="eastAsia"/>
                <w:b w:val="0"/>
                <w:bCs w:val="0"/>
                <w:color w:val="auto"/>
                <w:lang w:val="en-US" w:eastAsia="zh-CN"/>
              </w:rPr>
              <w:t>纳入</w:t>
            </w:r>
            <w:r>
              <w:rPr>
                <w:b w:val="0"/>
                <w:bCs w:val="0"/>
                <w:color w:val="auto"/>
                <w:lang w:val="en-US" w:eastAsia="zh-CN"/>
              </w:rPr>
              <w:t>广东省</w:t>
            </w:r>
            <w:r>
              <w:rPr>
                <w:rFonts w:hint="eastAsia"/>
                <w:b w:val="0"/>
                <w:bCs w:val="0"/>
                <w:color w:val="auto"/>
                <w:lang w:val="en-US" w:eastAsia="zh-CN"/>
              </w:rPr>
              <w:t>“百千万工程”信息综合平台确认</w:t>
            </w:r>
            <w:r>
              <w:rPr>
                <w:b w:val="0"/>
                <w:bCs w:val="0"/>
                <w:color w:val="auto"/>
                <w:lang w:val="en-US" w:eastAsia="zh-CN"/>
              </w:rPr>
              <w:t>为准；</w:t>
            </w:r>
            <w:r>
              <w:rPr>
                <w:b w:val="0"/>
                <w:bCs w:val="0"/>
                <w:color w:val="auto"/>
                <w:lang w:val="en-US" w:eastAsia="zh-CN"/>
              </w:rPr>
              <w:br w:type="textWrapping"/>
            </w:r>
            <w:r>
              <w:rPr>
                <w:b w:val="0"/>
                <w:bCs w:val="0"/>
                <w:color w:val="auto"/>
                <w:lang w:val="en-US" w:eastAsia="zh-CN"/>
              </w:rPr>
              <w:t>四、企业参加茂名、云浮市等地区对口帮扶、结对共建的，可参照此工作指引执行</w:t>
            </w:r>
            <w:r>
              <w:rPr>
                <w:rFonts w:hint="eastAsia"/>
                <w:b w:val="0"/>
                <w:bCs w:val="0"/>
                <w:color w:val="auto"/>
                <w:lang w:val="en-US" w:eastAsia="zh-CN"/>
              </w:rPr>
              <w:t>；</w:t>
            </w:r>
          </w:p>
          <w:p>
            <w:pPr>
              <w:pStyle w:val="2"/>
              <w:numPr>
                <w:ilvl w:val="0"/>
                <w:numId w:val="0"/>
              </w:numPr>
              <w:rPr>
                <w:rFonts w:hint="eastAsia" w:asciiTheme="minorHAnsi" w:hAnsiTheme="minorHAnsi" w:eastAsiaTheme="minorEastAsia" w:cstheme="minorBidi"/>
                <w:b w:val="0"/>
                <w:bCs w:val="0"/>
                <w:color w:val="auto"/>
                <w:kern w:val="2"/>
                <w:sz w:val="21"/>
                <w:szCs w:val="24"/>
                <w:lang w:val="en-US" w:eastAsia="zh-CN" w:bidi="ar-SA"/>
              </w:rPr>
            </w:pPr>
            <w:r>
              <w:rPr>
                <w:rFonts w:hint="eastAsia" w:asciiTheme="minorHAnsi" w:hAnsiTheme="minorHAnsi" w:eastAsiaTheme="minorEastAsia" w:cstheme="minorBidi"/>
                <w:b w:val="0"/>
                <w:bCs w:val="0"/>
                <w:color w:val="auto"/>
                <w:kern w:val="2"/>
                <w:sz w:val="21"/>
                <w:szCs w:val="24"/>
                <w:lang w:val="en-US" w:eastAsia="zh-CN" w:bidi="ar-SA"/>
              </w:rPr>
              <w:t>五、</w:t>
            </w:r>
            <w:r>
              <w:rPr>
                <w:rFonts w:asciiTheme="minorHAnsi" w:hAnsiTheme="minorHAnsi" w:eastAsiaTheme="minorEastAsia" w:cstheme="minorBidi"/>
                <w:b w:val="0"/>
                <w:bCs w:val="0"/>
                <w:color w:val="auto"/>
                <w:kern w:val="2"/>
                <w:sz w:val="21"/>
                <w:szCs w:val="24"/>
                <w:lang w:val="en-US" w:eastAsia="zh-CN" w:bidi="ar-SA"/>
              </w:rPr>
              <w:t>序号</w:t>
            </w:r>
            <w:r>
              <w:rPr>
                <w:rFonts w:hint="eastAsia" w:asciiTheme="minorHAnsi" w:hAnsiTheme="minorHAnsi" w:eastAsiaTheme="minorEastAsia" w:cstheme="minorBidi"/>
                <w:b w:val="0"/>
                <w:bCs w:val="0"/>
                <w:color w:val="auto"/>
                <w:kern w:val="2"/>
                <w:sz w:val="21"/>
                <w:szCs w:val="24"/>
                <w:lang w:val="en-US" w:eastAsia="zh-CN" w:bidi="ar-SA"/>
              </w:rPr>
              <w:t>2 的加分事项实施后，将关联序号1 加分事项，实施同步加分。各区住房城乡建设主管部门对每个企业每年度涉及序号1和2的总加分上限为35分。</w:t>
            </w:r>
          </w:p>
          <w:p>
            <w:pPr>
              <w:pStyle w:val="2"/>
              <w:numPr>
                <w:ilvl w:val="-1"/>
                <w:numId w:val="0"/>
              </w:numPr>
              <w:rPr>
                <w:rStyle w:val="9"/>
                <w:rFonts w:hint="default"/>
                <w:color w:va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2" w:hRule="atLeast"/>
        </w:trPr>
        <w:tc>
          <w:tcPr>
            <w:tcW w:w="623"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序号</w:t>
            </w:r>
          </w:p>
        </w:tc>
        <w:tc>
          <w:tcPr>
            <w:tcW w:w="1479"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加分事项</w:t>
            </w:r>
          </w:p>
        </w:tc>
        <w:tc>
          <w:tcPr>
            <w:tcW w:w="182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加分内容</w:t>
            </w:r>
          </w:p>
        </w:tc>
        <w:tc>
          <w:tcPr>
            <w:tcW w:w="95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加分</w:t>
            </w:r>
          </w:p>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分值</w:t>
            </w:r>
          </w:p>
        </w:tc>
        <w:tc>
          <w:tcPr>
            <w:tcW w:w="79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有效期限</w:t>
            </w:r>
          </w:p>
        </w:tc>
        <w:tc>
          <w:tcPr>
            <w:tcW w:w="682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加分说明</w:t>
            </w:r>
          </w:p>
        </w:tc>
        <w:tc>
          <w:tcPr>
            <w:tcW w:w="188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实施主体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2" w:hRule="atLeast"/>
        </w:trPr>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4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u w:val="none"/>
              </w:rPr>
            </w:pPr>
            <w:r>
              <w:rPr>
                <w:rStyle w:val="11"/>
                <w:color w:val="auto"/>
                <w:lang w:val="en-US" w:eastAsia="zh-CN" w:bidi="ar"/>
              </w:rPr>
              <w:t>建筑行业企业与政府</w:t>
            </w:r>
            <w:r>
              <w:rPr>
                <w:rStyle w:val="12"/>
                <w:color w:val="auto"/>
                <w:lang w:val="en-US" w:eastAsia="zh-CN" w:bidi="ar"/>
              </w:rPr>
              <w:t>、部门及村</w:t>
            </w:r>
            <w:r>
              <w:rPr>
                <w:rStyle w:val="11"/>
                <w:color w:val="auto"/>
                <w:lang w:val="en-US" w:eastAsia="zh-CN" w:bidi="ar"/>
              </w:rPr>
              <w:t>结对</w:t>
            </w:r>
          </w:p>
        </w:tc>
        <w:tc>
          <w:tcPr>
            <w:tcW w:w="1826"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u w:val="none"/>
              </w:rPr>
            </w:pPr>
            <w:r>
              <w:rPr>
                <w:rStyle w:val="11"/>
                <w:color w:val="auto"/>
                <w:lang w:val="en-US" w:eastAsia="zh-CN" w:bidi="ar"/>
              </w:rPr>
              <w:t>与政府</w:t>
            </w:r>
            <w:r>
              <w:rPr>
                <w:rStyle w:val="12"/>
                <w:color w:val="auto"/>
                <w:lang w:val="en-US" w:eastAsia="zh-CN" w:bidi="ar"/>
              </w:rPr>
              <w:t>、部门及村</w:t>
            </w:r>
            <w:r>
              <w:rPr>
                <w:rStyle w:val="11"/>
                <w:color w:val="auto"/>
                <w:lang w:val="en-US" w:eastAsia="zh-CN" w:bidi="ar"/>
              </w:rPr>
              <w:t>结对</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1年</w:t>
            </w:r>
          </w:p>
        </w:tc>
        <w:tc>
          <w:tcPr>
            <w:tcW w:w="6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00" w:lineRule="exact"/>
              <w:jc w:val="left"/>
              <w:textAlignment w:val="center"/>
              <w:rPr>
                <w:rStyle w:val="12"/>
                <w:rFonts w:hint="default"/>
                <w:color w:val="auto"/>
                <w:lang w:val="en-US" w:eastAsia="zh-CN" w:bidi="ar"/>
              </w:rPr>
            </w:pPr>
            <w:r>
              <w:rPr>
                <w:rStyle w:val="11"/>
                <w:rFonts w:hint="eastAsia"/>
                <w:color w:val="auto"/>
                <w:lang w:val="en-US" w:eastAsia="zh-CN" w:bidi="ar"/>
              </w:rPr>
              <w:t>1.</w:t>
            </w:r>
            <w:r>
              <w:rPr>
                <w:rStyle w:val="11"/>
                <w:color w:val="auto"/>
                <w:lang w:val="en-US" w:eastAsia="zh-CN" w:bidi="ar"/>
              </w:rPr>
              <w:t>每与一个政府</w:t>
            </w:r>
            <w:r>
              <w:rPr>
                <w:rStyle w:val="12"/>
                <w:color w:val="auto"/>
                <w:lang w:val="en-US" w:eastAsia="zh-CN" w:bidi="ar"/>
              </w:rPr>
              <w:t>、部门及村</w:t>
            </w:r>
            <w:r>
              <w:rPr>
                <w:rStyle w:val="11"/>
                <w:color w:val="auto"/>
                <w:lang w:val="en-US" w:eastAsia="zh-CN" w:bidi="ar"/>
              </w:rPr>
              <w:t>签订结对协议并落实结对帮扶项目的，加2分；</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u w:val="none"/>
              </w:rPr>
            </w:pPr>
            <w:r>
              <w:rPr>
                <w:rStyle w:val="12"/>
                <w:rFonts w:hint="eastAsia"/>
                <w:color w:val="auto"/>
                <w:lang w:val="en-US" w:eastAsia="zh-CN" w:bidi="ar"/>
              </w:rPr>
              <w:t>2.</w:t>
            </w:r>
            <w:r>
              <w:rPr>
                <w:rStyle w:val="12"/>
                <w:color w:val="auto"/>
                <w:lang w:val="en-US" w:eastAsia="zh-CN" w:bidi="ar"/>
              </w:rPr>
              <w:t>各区住房城乡建设主管部门每季度收集企业签订结对协议落实结对帮扶项目台账报送市住房城乡建设主管部门，市住房城乡建设主管部门统筹核实后印发相关通报，各区住房城乡建设主管部门根据通报文件在企业按结对帮扶协议落实具体帮扶工作</w:t>
            </w:r>
            <w:r>
              <w:rPr>
                <w:rStyle w:val="12"/>
                <w:rFonts w:hint="eastAsia"/>
                <w:color w:val="auto"/>
                <w:lang w:val="en-US" w:eastAsia="zh-CN" w:bidi="ar"/>
              </w:rPr>
              <w:t>后一并加分</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u w:val="none"/>
              </w:rPr>
            </w:pPr>
            <w:r>
              <w:rPr>
                <w:rStyle w:val="11"/>
                <w:rFonts w:hint="eastAsia" w:ascii="宋体" w:hAnsi="宋体" w:eastAsia="宋体" w:cs="宋体"/>
                <w:color w:val="auto"/>
                <w:lang w:val="en-US" w:eastAsia="zh-CN" w:bidi="ar"/>
              </w:rPr>
              <w:t>区住房城乡建设主管部门负责登记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2" w:hRule="atLeast"/>
        </w:trPr>
        <w:tc>
          <w:tcPr>
            <w:tcW w:w="62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47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向结对项目提供多形式帮扶支持</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与</w:t>
            </w:r>
            <w:r>
              <w:rPr>
                <w:rStyle w:val="11"/>
                <w:color w:val="auto"/>
                <w:lang w:val="en-US" w:eastAsia="zh-CN" w:bidi="ar"/>
              </w:rPr>
              <w:t>政府</w:t>
            </w:r>
            <w:r>
              <w:rPr>
                <w:rStyle w:val="12"/>
                <w:color w:val="auto"/>
                <w:lang w:val="en-US" w:eastAsia="zh-CN" w:bidi="ar"/>
              </w:rPr>
              <w:t>、部门及村</w:t>
            </w:r>
            <w:r>
              <w:rPr>
                <w:rFonts w:hint="eastAsia" w:ascii="宋体" w:hAnsi="宋体" w:eastAsia="宋体" w:cs="宋体"/>
                <w:i w:val="0"/>
                <w:iCs w:val="0"/>
                <w:color w:val="auto"/>
                <w:kern w:val="0"/>
                <w:sz w:val="20"/>
                <w:szCs w:val="20"/>
                <w:u w:val="none"/>
                <w:lang w:val="en-US" w:eastAsia="zh-CN" w:bidi="ar"/>
              </w:rPr>
              <w:t>落实结对项目，向项目提供资金、人才、技术、材料（产品）帮扶</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1年</w:t>
            </w:r>
          </w:p>
        </w:tc>
        <w:tc>
          <w:tcPr>
            <w:tcW w:w="6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1"/>
                <w:numId w:val="0"/>
              </w:numPr>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宋体" w:cs="宋体"/>
                <w:i w:val="0"/>
                <w:iCs w:val="0"/>
                <w:color w:val="auto"/>
                <w:sz w:val="20"/>
                <w:szCs w:val="20"/>
                <w:u w:val="none"/>
              </w:rPr>
            </w:pPr>
            <w:r>
              <w:rPr>
                <w:rStyle w:val="11"/>
                <w:rFonts w:hint="eastAsia"/>
                <w:color w:val="auto"/>
                <w:lang w:val="en-US" w:eastAsia="zh-CN" w:bidi="ar"/>
              </w:rPr>
              <w:t>1.</w:t>
            </w:r>
            <w:r>
              <w:rPr>
                <w:rStyle w:val="11"/>
                <w:color w:val="auto"/>
                <w:lang w:val="en-US" w:eastAsia="zh-CN" w:bidi="ar"/>
              </w:rPr>
              <w:t>企业提供资金、人才、技术、材料（产品）帮扶的，需落实到结对项目才加分；</w:t>
            </w:r>
            <w:r>
              <w:rPr>
                <w:rStyle w:val="11"/>
                <w:color w:val="auto"/>
                <w:lang w:val="en-US" w:eastAsia="zh-CN" w:bidi="ar"/>
              </w:rPr>
              <w:br w:type="textWrapping"/>
            </w:r>
            <w:r>
              <w:rPr>
                <w:rStyle w:val="11"/>
                <w:color w:val="auto"/>
                <w:lang w:val="en-US" w:eastAsia="zh-CN" w:bidi="ar"/>
              </w:rPr>
              <w:t>2.人才、技术、材料（产品）方面帮扶的，需折算为资金贡献；</w:t>
            </w:r>
            <w:r>
              <w:rPr>
                <w:rStyle w:val="11"/>
                <w:color w:val="auto"/>
                <w:lang w:val="en-US" w:eastAsia="zh-CN" w:bidi="ar"/>
              </w:rPr>
              <w:br w:type="textWrapping"/>
            </w:r>
            <w:r>
              <w:rPr>
                <w:rStyle w:val="11"/>
                <w:color w:val="auto"/>
                <w:lang w:val="en-US" w:eastAsia="zh-CN" w:bidi="ar"/>
              </w:rPr>
              <w:t>3.属于人才性质帮扶的，需提供1名以上技术人员到市、区</w:t>
            </w:r>
            <w:r>
              <w:rPr>
                <w:rStyle w:val="12"/>
                <w:color w:val="auto"/>
                <w:lang w:val="en-US" w:eastAsia="zh-CN" w:bidi="ar"/>
              </w:rPr>
              <w:t>、镇街</w:t>
            </w:r>
            <w:r>
              <w:rPr>
                <w:rStyle w:val="11"/>
                <w:color w:val="auto"/>
                <w:lang w:val="en-US" w:eastAsia="zh-CN" w:bidi="ar"/>
              </w:rPr>
              <w:t>工作专班或项目驻点工作的合同或其他佐证材料；</w:t>
            </w:r>
            <w:r>
              <w:rPr>
                <w:rStyle w:val="11"/>
                <w:color w:val="auto"/>
                <w:lang w:val="en-US" w:eastAsia="zh-CN" w:bidi="ar"/>
              </w:rPr>
              <w:br w:type="textWrapping"/>
            </w:r>
            <w:r>
              <w:rPr>
                <w:rStyle w:val="11"/>
                <w:color w:val="auto"/>
                <w:lang w:val="en-US" w:eastAsia="zh-CN" w:bidi="ar"/>
              </w:rPr>
              <w:t>4.属于技术性质帮扶的，需提供企业与项目签订的技术服务合同或其他佐证材料；</w:t>
            </w:r>
            <w:r>
              <w:rPr>
                <w:rStyle w:val="12"/>
                <w:color w:val="auto"/>
                <w:lang w:val="en-US" w:eastAsia="zh-CN" w:bidi="ar"/>
              </w:rPr>
              <w:br w:type="textWrapping"/>
            </w:r>
            <w:r>
              <w:rPr>
                <w:rStyle w:val="12"/>
                <w:color w:val="auto"/>
                <w:lang w:val="en-US" w:eastAsia="zh-CN" w:bidi="ar"/>
              </w:rPr>
              <w:t>5.落实结对项目且提供帮扶支持的，每次加</w:t>
            </w:r>
            <w:r>
              <w:rPr>
                <w:rStyle w:val="12"/>
                <w:rFonts w:hint="eastAsia"/>
                <w:color w:val="auto"/>
                <w:lang w:val="en-US" w:eastAsia="zh-CN" w:bidi="ar"/>
              </w:rPr>
              <w:t>1</w:t>
            </w:r>
            <w:r>
              <w:rPr>
                <w:rStyle w:val="12"/>
                <w:rFonts w:hint="eastAsia" w:eastAsia="宋体"/>
                <w:color w:val="auto"/>
                <w:lang w:val="en-US" w:eastAsia="zh-CN" w:bidi="ar"/>
              </w:rPr>
              <w:t>～</w:t>
            </w:r>
            <w:r>
              <w:rPr>
                <w:rStyle w:val="12"/>
                <w:rFonts w:hint="eastAsia"/>
                <w:color w:val="auto"/>
                <w:lang w:val="en-US" w:eastAsia="zh-CN" w:bidi="ar"/>
              </w:rPr>
              <w:t>5</w:t>
            </w:r>
            <w:r>
              <w:rPr>
                <w:rStyle w:val="12"/>
                <w:color w:val="auto"/>
                <w:lang w:val="en-US" w:eastAsia="zh-CN" w:bidi="ar"/>
              </w:rPr>
              <w:t>分，按照</w:t>
            </w:r>
            <w:r>
              <w:rPr>
                <w:rStyle w:val="12"/>
                <w:rFonts w:hint="eastAsia" w:eastAsia="宋体"/>
                <w:color w:val="auto"/>
                <w:lang w:val="en-US" w:eastAsia="zh-CN" w:bidi="ar"/>
              </w:rPr>
              <w:t>各区</w:t>
            </w:r>
            <w:r>
              <w:rPr>
                <w:rStyle w:val="12"/>
                <w:color w:val="auto"/>
                <w:lang w:val="en-US" w:eastAsia="zh-CN" w:bidi="ar"/>
              </w:rPr>
              <w:t>帮扶情况划分五个层级进行加分；属于佛山市</w:t>
            </w:r>
            <w:r>
              <w:rPr>
                <w:rFonts w:ascii="宋体" w:hAnsi="宋体" w:eastAsia="宋体" w:cs="宋体"/>
                <w:color w:val="auto"/>
                <w:spacing w:val="18"/>
                <w:sz w:val="20"/>
                <w:szCs w:val="20"/>
              </w:rPr>
              <w:t>实施</w:t>
            </w:r>
            <w:r>
              <w:rPr>
                <w:rStyle w:val="12"/>
                <w:color w:val="auto"/>
                <w:lang w:val="en-US" w:eastAsia="zh-CN" w:bidi="ar"/>
              </w:rPr>
              <w:t>“百千万工程”</w:t>
            </w:r>
            <w:r>
              <w:rPr>
                <w:rFonts w:ascii="宋体" w:hAnsi="宋体" w:eastAsia="宋体" w:cs="宋体"/>
                <w:color w:val="auto"/>
                <w:spacing w:val="18"/>
                <w:sz w:val="20"/>
                <w:szCs w:val="20"/>
              </w:rPr>
              <w:t>北向战略和西进计划行动</w:t>
            </w:r>
            <w:r>
              <w:rPr>
                <w:rFonts w:hint="eastAsia" w:ascii="宋体" w:hAnsi="宋体" w:eastAsia="宋体" w:cs="宋体"/>
                <w:color w:val="auto"/>
                <w:spacing w:val="18"/>
                <w:sz w:val="20"/>
                <w:szCs w:val="20"/>
                <w:lang w:eastAsia="zh-CN"/>
              </w:rPr>
              <w:t>范围的，可提高一个加分层级；</w:t>
            </w:r>
            <w:r>
              <w:rPr>
                <w:rStyle w:val="12"/>
                <w:color w:val="auto"/>
                <w:lang w:val="en-US" w:eastAsia="zh-CN" w:bidi="ar"/>
              </w:rPr>
              <w:br w:type="textWrapping"/>
            </w:r>
            <w:r>
              <w:rPr>
                <w:rStyle w:val="12"/>
                <w:rFonts w:hint="eastAsia"/>
                <w:color w:val="auto"/>
                <w:lang w:val="en-US" w:eastAsia="zh-CN" w:bidi="ar"/>
              </w:rPr>
              <w:t>6</w:t>
            </w:r>
            <w:r>
              <w:rPr>
                <w:rStyle w:val="12"/>
                <w:color w:val="auto"/>
                <w:lang w:val="en-US" w:eastAsia="zh-CN" w:bidi="ar"/>
              </w:rPr>
              <w:t>.各区住房城乡建设主管部门每季度收集企业帮扶台账报送市住房城乡建设主管部门，市住房城乡建设主管部门统筹核实后印发相关通报，各区住房城乡建设主管部门根据通报文件负责登记录入加分</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u w:val="none"/>
              </w:rPr>
            </w:pPr>
            <w:r>
              <w:rPr>
                <w:rStyle w:val="11"/>
                <w:rFonts w:hint="eastAsia" w:ascii="宋体" w:hAnsi="宋体" w:eastAsia="宋体" w:cs="宋体"/>
                <w:color w:val="auto"/>
                <w:lang w:val="en-US" w:eastAsia="zh-CN" w:bidi="ar"/>
              </w:rPr>
              <w:t>区住房城乡建设主管部门负责登记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5"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省级项目范例</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入选省住房城乡建设厅每年评选的省级项目范例名单</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1年</w:t>
            </w:r>
          </w:p>
        </w:tc>
        <w:tc>
          <w:tcPr>
            <w:tcW w:w="68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u w:val="none"/>
              </w:rPr>
            </w:pPr>
            <w:r>
              <w:rPr>
                <w:rStyle w:val="11"/>
                <w:rFonts w:hint="eastAsia" w:ascii="宋体" w:hAnsi="宋体" w:eastAsia="宋体" w:cs="宋体"/>
                <w:color w:val="auto"/>
                <w:lang w:val="en-US" w:eastAsia="zh-CN" w:bidi="ar"/>
              </w:rPr>
              <w:t>从通报文件印发之日起计算，以住房城乡建设主管部门确认为准</w:t>
            </w:r>
          </w:p>
        </w:tc>
        <w:tc>
          <w:tcPr>
            <w:tcW w:w="1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u w:val="none"/>
              </w:rPr>
            </w:pPr>
            <w:r>
              <w:rPr>
                <w:rStyle w:val="11"/>
                <w:rFonts w:hint="eastAsia" w:ascii="宋体" w:hAnsi="宋体" w:eastAsia="宋体" w:cs="宋体"/>
                <w:color w:val="auto"/>
                <w:lang w:val="en-US" w:eastAsia="zh-CN" w:bidi="ar"/>
              </w:rPr>
              <w:t>市住房城乡建设主管部门审核或负责登记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0"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市级项目范例</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入选市住房城乡建设主管部门每年评选的市级项目范例名单</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1年</w:t>
            </w:r>
          </w:p>
        </w:tc>
        <w:tc>
          <w:tcPr>
            <w:tcW w:w="68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u w:val="none"/>
              </w:rPr>
            </w:pPr>
          </w:p>
        </w:tc>
        <w:tc>
          <w:tcPr>
            <w:tcW w:w="1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5-1</w:t>
            </w:r>
          </w:p>
        </w:tc>
        <w:tc>
          <w:tcPr>
            <w:tcW w:w="147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sz w:val="20"/>
                <w:szCs w:val="20"/>
                <w:u w:val="none"/>
              </w:rPr>
              <w:t>通报表扬</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作出重大贡献</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5～20分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1年</w:t>
            </w:r>
          </w:p>
        </w:tc>
        <w:tc>
          <w:tcPr>
            <w:tcW w:w="6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市、区住房城乡建设主管部门根据统筹情况对作出重大贡献的企业予以通报表扬，每个部门对每个企业每年度仅限加分1次。加分上限具体为：区住房城乡建设主管部门为5分、市住房城乡建设主管部门为15分；市委、市政府通报表扬为20分</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both"/>
              <w:rPr>
                <w:rStyle w:val="11"/>
                <w:rFonts w:hint="eastAsia" w:ascii="宋体" w:hAnsi="宋体" w:eastAsia="宋体" w:cs="宋体"/>
                <w:color w:val="auto"/>
                <w:lang w:val="en-US" w:eastAsia="zh-CN" w:bidi="ar"/>
              </w:rPr>
            </w:pPr>
            <w:r>
              <w:rPr>
                <w:rStyle w:val="11"/>
                <w:rFonts w:hint="eastAsia" w:ascii="宋体" w:hAnsi="宋体" w:eastAsia="宋体" w:cs="宋体"/>
                <w:color w:val="auto"/>
                <w:lang w:val="en-US" w:eastAsia="zh-CN" w:bidi="ar"/>
              </w:rPr>
              <w:t>市、区住房城乡建设主管部门审核或负责登记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5" w:hRule="atLeast"/>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5-2</w:t>
            </w:r>
          </w:p>
        </w:tc>
        <w:tc>
          <w:tcPr>
            <w:tcW w:w="1479"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20"/>
                <w:szCs w:val="20"/>
                <w:u w:val="none"/>
                <w:lang w:val="en-US" w:eastAsia="zh-CN" w:bidi="ar"/>
              </w:rPr>
            </w:pP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sz w:val="20"/>
                <w:szCs w:val="20"/>
                <w:u w:val="none"/>
                <w:lang w:eastAsia="zh-CN"/>
              </w:rPr>
              <w:t>获得</w:t>
            </w:r>
            <w:r>
              <w:rPr>
                <w:rFonts w:hint="eastAsia" w:ascii="宋体" w:hAnsi="宋体" w:eastAsia="宋体" w:cs="宋体"/>
                <w:i w:val="0"/>
                <w:iCs w:val="0"/>
                <w:color w:val="auto"/>
                <w:sz w:val="20"/>
                <w:szCs w:val="20"/>
                <w:u w:val="none"/>
              </w:rPr>
              <w:t>省</w:t>
            </w:r>
            <w:r>
              <w:rPr>
                <w:rFonts w:hint="eastAsia" w:ascii="宋体" w:hAnsi="宋体" w:eastAsia="宋体" w:cs="宋体"/>
                <w:i w:val="0"/>
                <w:iCs w:val="0"/>
                <w:color w:val="auto"/>
                <w:sz w:val="20"/>
                <w:szCs w:val="20"/>
                <w:u w:val="none"/>
                <w:lang w:eastAsia="zh-CN"/>
              </w:rPr>
              <w:t>、市</w:t>
            </w:r>
            <w:r>
              <w:rPr>
                <w:rFonts w:hint="eastAsia" w:ascii="宋体" w:hAnsi="宋体" w:eastAsia="宋体" w:cs="宋体"/>
                <w:i w:val="0"/>
                <w:iCs w:val="0"/>
                <w:color w:val="auto"/>
                <w:sz w:val="20"/>
                <w:szCs w:val="20"/>
                <w:u w:val="none"/>
              </w:rPr>
              <w:t>“百千万工程”指挥部</w:t>
            </w:r>
            <w:r>
              <w:rPr>
                <w:rFonts w:hint="eastAsia" w:ascii="宋体" w:hAnsi="宋体" w:eastAsia="宋体" w:cs="宋体"/>
                <w:i w:val="0"/>
                <w:iCs w:val="0"/>
                <w:color w:val="auto"/>
                <w:sz w:val="20"/>
                <w:szCs w:val="20"/>
                <w:u w:val="none"/>
                <w:lang w:eastAsia="zh-CN"/>
              </w:rPr>
              <w:t>（办公室）通报表扬</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7～15分</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1年</w:t>
            </w:r>
          </w:p>
        </w:tc>
        <w:tc>
          <w:tcPr>
            <w:tcW w:w="6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12"/>
                <w:rFonts w:hint="eastAsia"/>
                <w:color w:val="auto"/>
                <w:lang w:val="en-US" w:eastAsia="zh-CN" w:bidi="ar"/>
              </w:rPr>
            </w:pPr>
            <w:r>
              <w:rPr>
                <w:rStyle w:val="12"/>
                <w:rFonts w:hint="eastAsia"/>
                <w:color w:val="auto"/>
                <w:lang w:val="en-US" w:eastAsia="zh-CN" w:bidi="ar"/>
              </w:rPr>
              <w:t>1.获得省“百千万工程”指挥部（办公室）通报表扬的，加15分；</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color w:val="auto"/>
                <w:lang w:val="en-US" w:eastAsia="zh-CN"/>
              </w:rPr>
            </w:pPr>
            <w:r>
              <w:rPr>
                <w:rStyle w:val="12"/>
                <w:rFonts w:hint="eastAsia"/>
                <w:color w:val="auto"/>
                <w:lang w:val="en-US" w:eastAsia="zh-CN" w:bidi="ar"/>
              </w:rPr>
              <w:t>2.获得市“百千万工程”指挥部（办公室）通报表扬的，加7分</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iCs w:val="0"/>
                <w:color w:val="auto"/>
                <w:sz w:val="20"/>
                <w:szCs w:val="20"/>
                <w:u w:val="none"/>
              </w:rPr>
            </w:pPr>
            <w:r>
              <w:rPr>
                <w:rStyle w:val="11"/>
                <w:rFonts w:hint="eastAsia" w:ascii="宋体" w:hAnsi="宋体" w:eastAsia="宋体" w:cs="宋体"/>
                <w:color w:val="auto"/>
                <w:lang w:val="en-US" w:eastAsia="zh-CN" w:bidi="ar"/>
              </w:rPr>
              <w:t>市住房城乡建设主管部门审核</w:t>
            </w:r>
            <w:bookmarkStart w:id="0" w:name="_GoBack"/>
            <w:bookmarkEnd w:id="0"/>
          </w:p>
        </w:tc>
      </w:tr>
    </w:tbl>
    <w:p>
      <w:pPr>
        <w:rPr>
          <w:color w:val="auto"/>
        </w:rPr>
      </w:pPr>
    </w:p>
    <w:sectPr>
      <w:footerReference r:id="rId3" w:type="default"/>
      <w:pgSz w:w="16838" w:h="11906" w:orient="landscape"/>
      <w:pgMar w:top="1587" w:right="1474" w:bottom="1474" w:left="1474" w:header="851" w:footer="992" w:gutter="0"/>
      <w:cols w:space="0" w:num="1"/>
      <w:rtlGutter w:val="0"/>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FangSong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2</w:t>
                          </w:r>
                          <w:r>
                            <w:rPr>
                              <w:rFonts w:hint="eastAsia"/>
                              <w:sz w:val="28"/>
                              <w:szCs w:val="28"/>
                              <w:lang w:eastAsia="zh-CN"/>
                            </w:rPr>
                            <w:fldChar w:fldCharType="end"/>
                          </w:r>
                          <w:r>
                            <w:rPr>
                              <w:rFonts w:hint="eastAsia"/>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r>
                      <w:rPr>
                        <w:rFonts w:hint="eastAsia"/>
                        <w:sz w:val="28"/>
                        <w:szCs w:val="28"/>
                        <w:lang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2</w:t>
                    </w:r>
                    <w:r>
                      <w:rPr>
                        <w:rFonts w:hint="eastAsia"/>
                        <w:sz w:val="28"/>
                        <w:szCs w:val="28"/>
                        <w:lang w:eastAsia="zh-CN"/>
                      </w:rPr>
                      <w:fldChar w:fldCharType="end"/>
                    </w:r>
                    <w:r>
                      <w:rPr>
                        <w:rFonts w:hint="eastAsia"/>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6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0723E8A"/>
    <w:rsid w:val="159FC6B5"/>
    <w:rsid w:val="16F2419D"/>
    <w:rsid w:val="1B697ECA"/>
    <w:rsid w:val="1C1D328E"/>
    <w:rsid w:val="1D03562C"/>
    <w:rsid w:val="274D37BA"/>
    <w:rsid w:val="2846220C"/>
    <w:rsid w:val="3E6F14AD"/>
    <w:rsid w:val="3FFF850D"/>
    <w:rsid w:val="464530D8"/>
    <w:rsid w:val="494B1B80"/>
    <w:rsid w:val="4B1F1D8A"/>
    <w:rsid w:val="4CB670EE"/>
    <w:rsid w:val="4D0222D1"/>
    <w:rsid w:val="5B8119C9"/>
    <w:rsid w:val="5FDFC354"/>
    <w:rsid w:val="63685EC1"/>
    <w:rsid w:val="7129771D"/>
    <w:rsid w:val="721401F5"/>
    <w:rsid w:val="792B62B3"/>
    <w:rsid w:val="7BBD89C9"/>
    <w:rsid w:val="7DD339D4"/>
    <w:rsid w:val="7DFFDD72"/>
    <w:rsid w:val="7E6F6FBA"/>
    <w:rsid w:val="7FE7CB96"/>
    <w:rsid w:val="B72F283D"/>
    <w:rsid w:val="CFBC6383"/>
    <w:rsid w:val="F0723E8A"/>
    <w:rsid w:val="F3B42303"/>
    <w:rsid w:val="F7DD7D59"/>
    <w:rsid w:val="F7FEF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FangSong_GB2312" w:eastAsia="FangSong_GB2312"/>
      <w:sz w:val="28"/>
      <w:szCs w:val="24"/>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11"/>
    <w:basedOn w:val="7"/>
    <w:qFormat/>
    <w:uiPriority w:val="0"/>
    <w:rPr>
      <w:rFonts w:hint="eastAsia" w:ascii="宋体" w:hAnsi="宋体" w:eastAsia="宋体" w:cs="宋体"/>
      <w:b/>
      <w:bCs/>
      <w:color w:val="FF0000"/>
      <w:sz w:val="20"/>
      <w:szCs w:val="20"/>
      <w:u w:val="none"/>
    </w:rPr>
  </w:style>
  <w:style w:type="character" w:customStyle="1" w:styleId="9">
    <w:name w:val="font61"/>
    <w:basedOn w:val="7"/>
    <w:qFormat/>
    <w:uiPriority w:val="0"/>
    <w:rPr>
      <w:rFonts w:hint="eastAsia" w:ascii="宋体" w:hAnsi="宋体" w:eastAsia="宋体" w:cs="宋体"/>
      <w:b/>
      <w:bCs/>
      <w:color w:val="000000"/>
      <w:sz w:val="20"/>
      <w:szCs w:val="20"/>
      <w:u w:val="none"/>
    </w:rPr>
  </w:style>
  <w:style w:type="character" w:customStyle="1" w:styleId="10">
    <w:name w:val="font51"/>
    <w:basedOn w:val="7"/>
    <w:qFormat/>
    <w:uiPriority w:val="0"/>
    <w:rPr>
      <w:rFonts w:hint="eastAsia" w:ascii="宋体" w:hAnsi="宋体" w:eastAsia="宋体" w:cs="宋体"/>
      <w:b/>
      <w:bCs/>
      <w:strike/>
      <w:color w:val="000000"/>
      <w:sz w:val="20"/>
      <w:szCs w:val="20"/>
    </w:rPr>
  </w:style>
  <w:style w:type="character" w:customStyle="1" w:styleId="11">
    <w:name w:val="font01"/>
    <w:basedOn w:val="7"/>
    <w:qFormat/>
    <w:uiPriority w:val="0"/>
    <w:rPr>
      <w:rFonts w:hint="eastAsia" w:ascii="宋体" w:hAnsi="宋体" w:eastAsia="宋体" w:cs="宋体"/>
      <w:color w:val="000000"/>
      <w:sz w:val="20"/>
      <w:szCs w:val="20"/>
      <w:u w:val="none"/>
    </w:rPr>
  </w:style>
  <w:style w:type="character" w:customStyle="1" w:styleId="12">
    <w:name w:val="font71"/>
    <w:basedOn w:val="7"/>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1375</Words>
  <Characters>1396</Characters>
  <Lines>0</Lines>
  <Paragraphs>0</Paragraphs>
  <TotalTime>8</TotalTime>
  <ScaleCrop>false</ScaleCrop>
  <LinksUpToDate>false</LinksUpToDate>
  <CharactersWithSpaces>1398</CharactersWithSpaces>
  <Application>WPS Office_11.8.2.12024_F1E327BC-269C-435d-A152-05C5408002CA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2024-06-23T15:49:00Z</dcterms:created>
  <dc:creator>李玉媚</dc:creator>
  <cp:lastModifiedBy>区灿</cp:lastModifiedBy>
  <cp:lastPrinted>2024-10-11T11:09:00Z</cp:lastPrinted>
  <dcterms:modified xsi:type="dcterms:W3CDTF">2024-12-27T11:52:42Z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2052-11.8.2.12024</vt:lpwstr>
  </property>
  <property fmtid="{D5CDD505-2E9C-101B-9397-08002B2CF9AE}" pid="3" name="ICV">
    <vt:lpwstr>29C64C7DFAA546D18C516306C5EC3F67_13</vt:lpwstr>
  </property>
</Properties>
</file>